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AC" w:rsidRDefault="00A34B81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7923AC" w:rsidRDefault="00A34B81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7923AC" w:rsidRDefault="00A34B81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7923AC" w:rsidRDefault="007923AC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7923AC" w:rsidRDefault="00EA6A18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READING LIST 13</w:t>
      </w:r>
      <w:r w:rsidR="00A34B81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MONETARY REFORM PROPOSALS</w:t>
      </w:r>
    </w:p>
    <w:p w:rsidR="007923AC" w:rsidRDefault="007923AC">
      <w:pPr>
        <w:rPr>
          <w:lang w:val="en-GB"/>
        </w:rPr>
      </w:pPr>
    </w:p>
    <w:p w:rsidR="007923AC" w:rsidRDefault="00A34B8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7923AC" w:rsidRDefault="00A34B8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7923AC" w:rsidRDefault="007923AC">
      <w:pPr>
        <w:rPr>
          <w:lang w:val="en-GB"/>
        </w:rPr>
      </w:pPr>
    </w:p>
    <w:p w:rsidR="007923AC" w:rsidRDefault="00A34B81">
      <w:pPr>
        <w:pStyle w:val="KeinLeerraum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Required readings</w:t>
      </w:r>
    </w:p>
    <w:p w:rsidR="00FC4B9E" w:rsidRDefault="00FC4B9E" w:rsidP="00FC4B9E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O. Bush, K. Farrant and M. Wright, Reform of the International Monetary and Financial System </w:t>
      </w:r>
      <w:r>
        <w:rPr>
          <w:rFonts w:ascii="Times New Roman" w:hAnsi="Times New Roman" w:cs="Times New Roman"/>
          <w:i/>
          <w:lang w:val="en-GB"/>
        </w:rPr>
        <w:t>Bank of England Financial Stability Paper</w:t>
      </w:r>
      <w:r>
        <w:rPr>
          <w:rFonts w:ascii="Times New Roman" w:hAnsi="Times New Roman" w:cs="Times New Roman"/>
          <w:lang w:val="en-GB"/>
        </w:rPr>
        <w:t xml:space="preserve"> 13, 2011 (</w:t>
      </w:r>
      <w:hyperlink r:id="rId4" w:history="1">
        <w:r w:rsidRPr="00FC4B9E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7923AC" w:rsidRDefault="00FC4B9E" w:rsidP="00FC4B9E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Huber, </w:t>
      </w:r>
      <w:proofErr w:type="gramStart"/>
      <w:r w:rsidRPr="00FC4B9E">
        <w:rPr>
          <w:rFonts w:ascii="Times New Roman" w:hAnsi="Times New Roman" w:cs="Times New Roman"/>
          <w:i/>
          <w:lang w:val="en-GB"/>
        </w:rPr>
        <w:t>The</w:t>
      </w:r>
      <w:proofErr w:type="gramEnd"/>
      <w:r w:rsidRPr="00FC4B9E">
        <w:rPr>
          <w:rFonts w:ascii="Times New Roman" w:hAnsi="Times New Roman" w:cs="Times New Roman"/>
          <w:i/>
          <w:lang w:val="en-GB"/>
        </w:rPr>
        <w:t xml:space="preserve"> Case for Sovereign Money</w:t>
      </w:r>
      <w:r>
        <w:rPr>
          <w:rFonts w:ascii="Times New Roman" w:hAnsi="Times New Roman" w:cs="Times New Roman"/>
          <w:lang w:val="en-GB"/>
        </w:rPr>
        <w:t xml:space="preserve">, 2021 </w:t>
      </w:r>
      <w:hyperlink r:id="rId5" w:history="1">
        <w:r w:rsidRPr="00FC4B9E">
          <w:rPr>
            <w:rStyle w:val="Hyperlink"/>
            <w:rFonts w:ascii="Times New Roman" w:hAnsi="Times New Roman" w:cs="Times New Roman"/>
            <w:lang w:val="en-GB"/>
          </w:rPr>
          <w:t>(available online</w:t>
        </w:r>
      </w:hyperlink>
      <w:r>
        <w:rPr>
          <w:rFonts w:ascii="Times New Roman" w:hAnsi="Times New Roman" w:cs="Times New Roman"/>
          <w:lang w:val="en-GB"/>
        </w:rPr>
        <w:t>)</w:t>
      </w:r>
      <w:r w:rsidR="00A34B81">
        <w:rPr>
          <w:rFonts w:ascii="Times New Roman" w:hAnsi="Times New Roman" w:cs="Times New Roman"/>
          <w:lang w:val="en-GB"/>
        </w:rPr>
        <w:t>.</w:t>
      </w:r>
    </w:p>
    <w:p w:rsidR="007923AC" w:rsidRPr="00FC4B9E" w:rsidRDefault="00FC4B9E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T. Salerno, The 100 Percent Gold Standard: A Proposal for Monetary Reform in </w:t>
      </w:r>
      <w:r>
        <w:rPr>
          <w:rFonts w:ascii="Times New Roman" w:hAnsi="Times New Roman" w:cs="Times New Roman"/>
          <w:i/>
          <w:lang w:val="en-GB"/>
        </w:rPr>
        <w:t>Money, Sound and Unsound</w:t>
      </w:r>
      <w:r w:rsidR="00B60F61">
        <w:rPr>
          <w:rFonts w:ascii="Times New Roman" w:hAnsi="Times New Roman" w:cs="Times New Roman"/>
          <w:lang w:val="en-GB"/>
        </w:rPr>
        <w:t>, pp. 323-353,</w:t>
      </w:r>
      <w:r>
        <w:rPr>
          <w:rFonts w:ascii="Times New Roman" w:hAnsi="Times New Roman" w:cs="Times New Roman"/>
          <w:lang w:val="en-GB"/>
        </w:rPr>
        <w:t xml:space="preserve"> Auburn Ala.: Ludwig von Mises Institute, 2010 (</w:t>
      </w:r>
      <w:hyperlink r:id="rId6" w:history="1">
        <w:r w:rsidRPr="00B60F6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7923AC" w:rsidRDefault="007923AC">
      <w:pPr>
        <w:pStyle w:val="KeinLeerraum"/>
        <w:rPr>
          <w:rFonts w:ascii="Times New Roman" w:hAnsi="Times New Roman" w:cs="Times New Roman"/>
          <w:lang w:val="en-GB"/>
        </w:rPr>
      </w:pPr>
    </w:p>
    <w:p w:rsidR="007923AC" w:rsidRDefault="007923AC">
      <w:pPr>
        <w:rPr>
          <w:rFonts w:ascii="Times New Roman" w:hAnsi="Times New Roman" w:cs="Times New Roman"/>
          <w:i/>
          <w:vanish/>
          <w:lang w:val="en-GB"/>
        </w:rPr>
      </w:pPr>
    </w:p>
    <w:p w:rsidR="007923AC" w:rsidRDefault="00A34B81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7923AC" w:rsidRPr="00B60F61" w:rsidRDefault="00B60F61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G. </w:t>
      </w:r>
      <w:proofErr w:type="spellStart"/>
      <w:r>
        <w:rPr>
          <w:rFonts w:ascii="Times New Roman" w:hAnsi="Times New Roman" w:cs="Times New Roman"/>
          <w:lang w:val="en-GB"/>
        </w:rPr>
        <w:t>Hülsmann</w:t>
      </w:r>
      <w:proofErr w:type="spellEnd"/>
      <w:r>
        <w:rPr>
          <w:rFonts w:ascii="Times New Roman" w:hAnsi="Times New Roman" w:cs="Times New Roman"/>
          <w:lang w:val="en-GB"/>
        </w:rPr>
        <w:t xml:space="preserve">, Optimal Monetary Policy </w:t>
      </w:r>
      <w:r>
        <w:rPr>
          <w:rFonts w:ascii="Times New Roman" w:hAnsi="Times New Roman" w:cs="Times New Roman"/>
          <w:i/>
          <w:lang w:val="en-GB"/>
        </w:rPr>
        <w:t>Quarterly Journal of Austrian Economics</w:t>
      </w:r>
      <w:r>
        <w:rPr>
          <w:rFonts w:ascii="Times New Roman" w:hAnsi="Times New Roman" w:cs="Times New Roman"/>
          <w:lang w:val="en-GB"/>
        </w:rPr>
        <w:t xml:space="preserve"> 6, 4, pp. 37-60, 2003</w:t>
      </w:r>
      <w:r w:rsidR="00A34B81">
        <w:rPr>
          <w:rFonts w:ascii="Times New Roman" w:hAnsi="Times New Roman" w:cs="Times New Roman"/>
          <w:lang w:val="en-GB"/>
        </w:rPr>
        <w:t xml:space="preserve"> (</w:t>
      </w:r>
      <w:hyperlink r:id="rId7" w:history="1">
        <w:r w:rsidR="00A34B81" w:rsidRPr="00A34B8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A34B81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7923AC" w:rsidRDefault="00B60F61" w:rsidP="00B60F61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S. B. Sumner, Nominal GDP Targeting: A Simple Rule to Improve Fed Performance </w:t>
      </w:r>
      <w:r>
        <w:rPr>
          <w:rFonts w:ascii="Times New Roman" w:hAnsi="Times New Roman" w:cs="Times New Roman"/>
          <w:i/>
          <w:lang w:val="en-GB"/>
        </w:rPr>
        <w:t>Cato Journal</w:t>
      </w:r>
      <w:r>
        <w:rPr>
          <w:rFonts w:ascii="Times New Roman" w:hAnsi="Times New Roman" w:cs="Times New Roman"/>
          <w:lang w:val="en-GB"/>
        </w:rPr>
        <w:t xml:space="preserve"> 34, 2, pp. 315-337, 2014</w:t>
      </w:r>
      <w:r w:rsidR="00A65100">
        <w:rPr>
          <w:rFonts w:ascii="Times New Roman" w:hAnsi="Times New Roman" w:cs="Times New Roman"/>
          <w:lang w:val="en-GB"/>
        </w:rPr>
        <w:t xml:space="preserve"> (</w:t>
      </w:r>
      <w:hyperlink r:id="rId8" w:history="1">
        <w:r w:rsidR="00A65100" w:rsidRPr="00A65100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A65100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A65100" w:rsidRDefault="00A65100" w:rsidP="00A65100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Huerta de Soto, </w:t>
      </w:r>
      <w:r>
        <w:rPr>
          <w:rFonts w:ascii="Times New Roman" w:hAnsi="Times New Roman" w:cs="Times New Roman"/>
          <w:i/>
          <w:lang w:val="en-GB"/>
        </w:rPr>
        <w:t>Money, Bank Credit, and Economic Cycles</w:t>
      </w:r>
      <w:r>
        <w:rPr>
          <w:rFonts w:ascii="Times New Roman" w:hAnsi="Times New Roman" w:cs="Times New Roman"/>
          <w:lang w:val="en-GB"/>
        </w:rPr>
        <w:t xml:space="preserve"> chap. 9: A Proposal for Banking Reform: The Theory of A 100-Percent Reserve Requirement, pp. 716-812, esp. pp. 736-745, 2020</w:t>
      </w:r>
      <w:r w:rsidR="00A34B81">
        <w:rPr>
          <w:rFonts w:ascii="Times New Roman" w:hAnsi="Times New Roman" w:cs="Times New Roman"/>
          <w:lang w:val="en-GB"/>
        </w:rPr>
        <w:t xml:space="preserve"> (</w:t>
      </w:r>
      <w:hyperlink r:id="rId9" w:history="1">
        <w:r w:rsidR="00A34B81" w:rsidRPr="00A34B81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bookmarkStart w:id="0" w:name="_GoBack"/>
      <w:bookmarkEnd w:id="0"/>
      <w:r w:rsidR="00A34B81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A65100" w:rsidRPr="00A65100" w:rsidRDefault="00A65100" w:rsidP="00A65100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L. H. White, The Merits and Feasibility of Returning to A Commodity Standard </w:t>
      </w:r>
      <w:r>
        <w:rPr>
          <w:rFonts w:ascii="Times New Roman" w:hAnsi="Times New Roman"/>
          <w:i/>
          <w:lang w:val="en-GB"/>
        </w:rPr>
        <w:t>Journal of Financial Stability</w:t>
      </w:r>
      <w:r>
        <w:rPr>
          <w:rFonts w:ascii="Times New Roman" w:hAnsi="Times New Roman"/>
          <w:lang w:val="en-GB"/>
        </w:rPr>
        <w:t xml:space="preserve"> 17, pp. 59-64, 2015 (</w:t>
      </w:r>
      <w:hyperlink r:id="rId10" w:history="1">
        <w:r w:rsidRPr="00A65100">
          <w:rPr>
            <w:rStyle w:val="Hyperlink"/>
            <w:rFonts w:ascii="Times New Roman" w:hAnsi="Times New Roman"/>
            <w:lang w:val="en-GB"/>
          </w:rPr>
          <w:t>available online</w:t>
        </w:r>
      </w:hyperlink>
      <w:r>
        <w:rPr>
          <w:rFonts w:ascii="Times New Roman" w:hAnsi="Times New Roman"/>
          <w:lang w:val="en-GB"/>
        </w:rPr>
        <w:t>).</w:t>
      </w:r>
    </w:p>
    <w:p w:rsidR="007923AC" w:rsidRDefault="007923AC">
      <w:pPr>
        <w:pStyle w:val="KeinLeerraum"/>
        <w:rPr>
          <w:rFonts w:ascii="Times New Roman" w:hAnsi="Times New Roman"/>
          <w:lang w:val="en-GB"/>
        </w:rPr>
      </w:pPr>
    </w:p>
    <w:sectPr w:rsidR="007923AC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C"/>
    <w:rsid w:val="007923AC"/>
    <w:rsid w:val="00A34B81"/>
    <w:rsid w:val="00A65100"/>
    <w:rsid w:val="00B06FB6"/>
    <w:rsid w:val="00B60F61"/>
    <w:rsid w:val="00EA6A1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49D1-7604-40EB-9C8C-F6CA43F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o.org/sites/cato.org/files/serials/files/cato-journal/2014/5/cato-journal-v34n2-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ses.org/library/optimal-monetary-policy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es.org/books/sound_money_salern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vereignmoney.site/the-case-for-sovereign-money-21" TargetMode="External"/><Relationship Id="rId10" Type="http://schemas.openxmlformats.org/officeDocument/2006/relationships/hyperlink" Target="https://linkinghub.elsevier.com/retrieve/pii/S1572308915000261" TargetMode="External"/><Relationship Id="rId4" Type="http://schemas.openxmlformats.org/officeDocument/2006/relationships/hyperlink" Target="https://www.bankofengland.co.uk/financial-stability-paper/2011/reform-of-the-international-monetary-and-financial-system" TargetMode="External"/><Relationship Id="rId9" Type="http://schemas.openxmlformats.org/officeDocument/2006/relationships/hyperlink" Target="https://mises.org/library/money-bank-credit-and-economic-cy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2021-11-16T14:20:00Z</dcterms:created>
  <dcterms:modified xsi:type="dcterms:W3CDTF">2021-11-16T15:29:00Z</dcterms:modified>
  <dc:language>da-DK</dc:language>
</cp:coreProperties>
</file>